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Case Study on Community-Based Management of Dengue Outbreak in Urban Slums of Dhaka, Bangladesh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Authors</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Shohal Hossain</w:t>
      </w:r>
      <w:r>
        <w:rPr>
          <w:rFonts w:ascii="Times New Roman" w:hAnsi="Times New Roman" w:cs="Times New Roman" w:eastAsia="Times New Roman"/>
          <w:color w:val="auto"/>
          <w:spacing w:val="0"/>
          <w:position w:val="0"/>
          <w:sz w:val="24"/>
          <w:shd w:fill="auto" w:val="clear"/>
        </w:rPr>
        <w:br/>
        <w:t xml:space="preserve">MPH Researcher,</w:t>
        <w:br/>
        <w:t xml:space="preserve">Department of Public Health,</w:t>
        <w:br/>
        <w:t xml:space="preserve">Gono Bishwabidyalay, Savar, Dhaka, Bangladesh</w:t>
        <w:br/>
        <w:t xml:space="preserve">ORCID: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https://orcid.org/0000-0001-2345-6789</w:t>
        </w:r>
      </w:hyperlink>
      <w:r>
        <w:rPr>
          <w:rFonts w:ascii="Times New Roman" w:hAnsi="Times New Roman" w:cs="Times New Roman" w:eastAsia="Times New Roman"/>
          <w:color w:val="auto"/>
          <w:spacing w:val="0"/>
          <w:position w:val="0"/>
          <w:sz w:val="24"/>
          <w:shd w:fill="auto" w:val="clear"/>
        </w:rPr>
        <w:br/>
        <w:t xml:space="preserve">Email: shohal@example.com</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 Md Tariqul Islam</w:t>
      </w:r>
      <w:r>
        <w:rPr>
          <w:rFonts w:ascii="Times New Roman" w:hAnsi="Times New Roman" w:cs="Times New Roman" w:eastAsia="Times New Roman"/>
          <w:color w:val="auto"/>
          <w:spacing w:val="0"/>
          <w:position w:val="0"/>
          <w:sz w:val="24"/>
          <w:shd w:fill="auto" w:val="clear"/>
        </w:rPr>
        <w:br/>
        <w:t xml:space="preserve">Director,</w:t>
        <w:br/>
        <w:t xml:space="preserve">Center for Multidisciplinary Research,</w:t>
        <w:br/>
        <w:t xml:space="preserve">Gono Bishwabidyalay, Savar, Dhaka, Bangladesh</w:t>
        <w:br/>
        <w:t xml:space="preserve">Email: tariqul@example.com</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Ayesha Rahman</w:t>
      </w:r>
      <w:r>
        <w:rPr>
          <w:rFonts w:ascii="Times New Roman" w:hAnsi="Times New Roman" w:cs="Times New Roman" w:eastAsia="Times New Roman"/>
          <w:color w:val="auto"/>
          <w:spacing w:val="0"/>
          <w:position w:val="0"/>
          <w:sz w:val="24"/>
          <w:shd w:fill="auto" w:val="clear"/>
        </w:rPr>
        <w:br/>
        <w:t xml:space="preserve">Assistant Professor,</w:t>
        <w:br/>
        <w:t xml:space="preserve">Department of Environmental Health,</w:t>
        <w:br/>
        <w:t xml:space="preserve">North South University, Dhaka, Bangladesh</w:t>
        <w:br/>
        <w:t xml:space="preserve">ORCID: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https://orcid.org/0000-0002-1111-2222</w:t>
        </w:r>
      </w:hyperlink>
      <w:r>
        <w:rPr>
          <w:rFonts w:ascii="Times New Roman" w:hAnsi="Times New Roman" w:cs="Times New Roman" w:eastAsia="Times New Roman"/>
          <w:color w:val="auto"/>
          <w:spacing w:val="0"/>
          <w:position w:val="0"/>
          <w:sz w:val="24"/>
          <w:shd w:fill="auto" w:val="clear"/>
        </w:rPr>
        <w:br/>
        <w:t xml:space="preserve">Email: ayesha.rahman@example.com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Abstract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Dengue fever poses a significant public health threat in urban Bangladesh, particularly in densely populated slum areas. This case study explores a community-based intervention implemented in the Korail slum of Dhaka during the 2022 dengue outbreak. The study documents the outbreak response process, challenges faced, and outcomes achieved. Using qualitative interviews, observational data, and a review of public health records, the study highlights the role of local health volunteers, NGOs, and digital reporting systems in outbreak control. The case concludes with lessons learned for scalable public health strategies in similar vulnerable settings.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dengue, community health, urban slums, public health intervention, Bangladesh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1. Introduction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Dengue, a mosquito-borne viral infection, is endemic in Bangladesh, especially during the monsoon season. Dhaka, the capital city, has experienced repeated outbreaks due to rapid urbanization, poor drainage, and inadequate waste management (World Health Organization [WHO], 2022). Slum areas like Korail are especially vulnerable due to overcrowding and limited access to healthcare services.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case study explores the community-based approach adopted in Korail during the 2022 dengue outbreak, aiming to understand the impact of localized interventions and identify strategies that could be replicated elsewhere.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 Background</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Study Area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Korail slum, located in Dhaka North City Corporation, houses over 100,000 residents. Characterized by unplanned settlements, inadequate sanitation, and poor health infrastructure, it represents a hotspot for vector-borne diseases.</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The Outbreak</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June 2022, the Directorate General of Health Services (DGHS) reported a spike in dengue cases in Dhaka. By mid-July, Korail had over 150 confirmed cases. Due to limited government response, local NGOs, in collaboration with community volunteers, initiated grassroots-level interventions.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3. Methodology</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case study used a qualitative descriptive method based on:</w:t>
      </w:r>
    </w:p>
    <w:p>
      <w:pPr>
        <w:numPr>
          <w:ilvl w:val="0"/>
          <w:numId w:val="13"/>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in-depth interviews with local residents, health workers, and NGO staff</w:t>
      </w:r>
    </w:p>
    <w:p>
      <w:pPr>
        <w:numPr>
          <w:ilvl w:val="0"/>
          <w:numId w:val="13"/>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Review of medical records and epidemiological data from DGHS and the International Centre for Diarrhoeal Disease Research, Bangladesh (ICDDR,B)</w:t>
      </w:r>
    </w:p>
    <w:p>
      <w:pPr>
        <w:numPr>
          <w:ilvl w:val="0"/>
          <w:numId w:val="13"/>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Observations of community mobilization activities between July and September 2022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Ethical approval was obtained from the Gono Bishwabidyalay Institutional Review Board (IRB #2022/07/19-PH).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 Intervention Process</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Mobilization of Community Health Volunteers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group of 30 local volunteers was trained in basic vector control and symptom identification by the NGO BRAC. They conducted door-to-door awareness campaigns and distributed mosquito nets and larvicide tablets.</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Community Mapping and Surveillance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open-source GIS tools, volunteers identified stagnant water sources and high-risk zones. A mobile app developed by a local startup allowed real-time reporting of suspected cases.</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 Medical Support and Referral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Temporary clinics were set up within the slum with support from ICDDR,B. Critical patients were referred to Mohakhali General Hospital using ambulances arranged by the Dhaka North City Corporation.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 Results</w:t>
      </w:r>
    </w:p>
    <w:p>
      <w:pPr>
        <w:numPr>
          <w:ilvl w:val="0"/>
          <w:numId w:val="1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Reduction in Cases:</w:t>
      </w:r>
      <w:r>
        <w:rPr>
          <w:rFonts w:ascii="Times New Roman" w:hAnsi="Times New Roman" w:cs="Times New Roman" w:eastAsia="Times New Roman"/>
          <w:color w:val="auto"/>
          <w:spacing w:val="0"/>
          <w:position w:val="0"/>
          <w:sz w:val="24"/>
          <w:shd w:fill="auto" w:val="clear"/>
        </w:rPr>
        <w:t xml:space="preserve"> Within 6 weeks, the number of new dengue cases dropped by 60%.</w:t>
      </w:r>
    </w:p>
    <w:p>
      <w:pPr>
        <w:numPr>
          <w:ilvl w:val="0"/>
          <w:numId w:val="1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Improved Awareness:</w:t>
      </w:r>
      <w:r>
        <w:rPr>
          <w:rFonts w:ascii="Times New Roman" w:hAnsi="Times New Roman" w:cs="Times New Roman" w:eastAsia="Times New Roman"/>
          <w:color w:val="auto"/>
          <w:spacing w:val="0"/>
          <w:position w:val="0"/>
          <w:sz w:val="24"/>
          <w:shd w:fill="auto" w:val="clear"/>
        </w:rPr>
        <w:t xml:space="preserve"> Over 75% of households reported knowing key dengue symptoms and prevention strategies.</w:t>
      </w:r>
    </w:p>
    <w:p>
      <w:pPr>
        <w:numPr>
          <w:ilvl w:val="0"/>
          <w:numId w:val="1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Collection:</w:t>
      </w:r>
      <w:r>
        <w:rPr>
          <w:rFonts w:ascii="Times New Roman" w:hAnsi="Times New Roman" w:cs="Times New Roman" w:eastAsia="Times New Roman"/>
          <w:color w:val="auto"/>
          <w:spacing w:val="0"/>
          <w:position w:val="0"/>
          <w:sz w:val="24"/>
          <w:shd w:fill="auto" w:val="clear"/>
        </w:rPr>
        <w:t xml:space="preserve"> The mobile app logged 412 suspected cases, improving the timeliness of interventions.</w:t>
      </w:r>
    </w:p>
    <w:p>
      <w:pPr>
        <w:numPr>
          <w:ilvl w:val="0"/>
          <w:numId w:val="1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Community Trust:</w:t>
      </w:r>
      <w:r>
        <w:rPr>
          <w:rFonts w:ascii="Times New Roman" w:hAnsi="Times New Roman" w:cs="Times New Roman" w:eastAsia="Times New Roman"/>
          <w:color w:val="auto"/>
          <w:spacing w:val="0"/>
          <w:position w:val="0"/>
          <w:sz w:val="24"/>
          <w:shd w:fill="auto" w:val="clear"/>
        </w:rPr>
        <w:t xml:space="preserve"> Interviews revealed increased trust in local health actors versus government officials.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6. Challenges</w:t>
      </w:r>
    </w:p>
    <w:p>
      <w:pPr>
        <w:numPr>
          <w:ilvl w:val="0"/>
          <w:numId w:val="2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Resource Limitations:</w:t>
      </w:r>
      <w:r>
        <w:rPr>
          <w:rFonts w:ascii="Times New Roman" w:hAnsi="Times New Roman" w:cs="Times New Roman" w:eastAsia="Times New Roman"/>
          <w:color w:val="auto"/>
          <w:spacing w:val="0"/>
          <w:position w:val="0"/>
          <w:sz w:val="24"/>
          <w:shd w:fill="auto" w:val="clear"/>
        </w:rPr>
        <w:t xml:space="preserve"> Initial delays in supplies like larvicide and mosquito nets hampered early efforts.</w:t>
      </w:r>
    </w:p>
    <w:p>
      <w:pPr>
        <w:numPr>
          <w:ilvl w:val="0"/>
          <w:numId w:val="2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Volunteer Fatigue:</w:t>
      </w:r>
      <w:r>
        <w:rPr>
          <w:rFonts w:ascii="Times New Roman" w:hAnsi="Times New Roman" w:cs="Times New Roman" w:eastAsia="Times New Roman"/>
          <w:color w:val="auto"/>
          <w:spacing w:val="0"/>
          <w:position w:val="0"/>
          <w:sz w:val="24"/>
          <w:shd w:fill="auto" w:val="clear"/>
        </w:rPr>
        <w:t xml:space="preserve"> Sustaining motivation among unpaid volunteers proved difficult over time.</w:t>
      </w:r>
    </w:p>
    <w:p>
      <w:pPr>
        <w:numPr>
          <w:ilvl w:val="0"/>
          <w:numId w:val="22"/>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Validity:</w:t>
      </w:r>
      <w:r>
        <w:rPr>
          <w:rFonts w:ascii="Times New Roman" w:hAnsi="Times New Roman" w:cs="Times New Roman" w:eastAsia="Times New Roman"/>
          <w:color w:val="auto"/>
          <w:spacing w:val="0"/>
          <w:position w:val="0"/>
          <w:sz w:val="24"/>
          <w:shd w:fill="auto" w:val="clear"/>
        </w:rPr>
        <w:t xml:space="preserve"> Some reported cases lacked clinical confirmation due to testing constraints.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7. Discussion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success of the intervention was largely attributed to the use of local resources and trust-building measures. Previous studies support the effectiveness of community-based health models in resource-poor settings (Ahmed et al., 2021). The integration of digital surveillance with grassroots efforts represents a scalable model for future outbreak responses.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8. Conclusion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Korail case demonstrates how community engagement and low-cost technologies can effectively control dengue outbreaks in urban slums. Policymakers should consider formalizing such approaches into national preparedness plans.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9. Recommendations</w:t>
      </w:r>
    </w:p>
    <w:p>
      <w:pPr>
        <w:numPr>
          <w:ilvl w:val="0"/>
          <w:numId w:val="2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Policy Integration:</w:t>
      </w:r>
      <w:r>
        <w:rPr>
          <w:rFonts w:ascii="Times New Roman" w:hAnsi="Times New Roman" w:cs="Times New Roman" w:eastAsia="Times New Roman"/>
          <w:color w:val="auto"/>
          <w:spacing w:val="0"/>
          <w:position w:val="0"/>
          <w:sz w:val="24"/>
          <w:shd w:fill="auto" w:val="clear"/>
        </w:rPr>
        <w:t xml:space="preserve"> Incorporate community health volunteer networks into national disease surveillance systems.</w:t>
      </w:r>
    </w:p>
    <w:p>
      <w:pPr>
        <w:numPr>
          <w:ilvl w:val="0"/>
          <w:numId w:val="2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Digital Tools:</w:t>
      </w:r>
      <w:r>
        <w:rPr>
          <w:rFonts w:ascii="Times New Roman" w:hAnsi="Times New Roman" w:cs="Times New Roman" w:eastAsia="Times New Roman"/>
          <w:color w:val="auto"/>
          <w:spacing w:val="0"/>
          <w:position w:val="0"/>
          <w:sz w:val="24"/>
          <w:shd w:fill="auto" w:val="clear"/>
        </w:rPr>
        <w:t xml:space="preserve"> Expand use of mobile apps for early warning and outbreak mapping.</w:t>
      </w:r>
    </w:p>
    <w:p>
      <w:pPr>
        <w:numPr>
          <w:ilvl w:val="0"/>
          <w:numId w:val="29"/>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Public-Private Partnership:</w:t>
      </w:r>
      <w:r>
        <w:rPr>
          <w:rFonts w:ascii="Times New Roman" w:hAnsi="Times New Roman" w:cs="Times New Roman" w:eastAsia="Times New Roman"/>
          <w:color w:val="auto"/>
          <w:spacing w:val="0"/>
          <w:position w:val="0"/>
          <w:sz w:val="24"/>
          <w:shd w:fill="auto" w:val="clear"/>
        </w:rPr>
        <w:t xml:space="preserve"> Encourage collaboration among NGOs, tech firms, and local governments.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References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(APA 7th Edition Format)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Ahmed, T., Rahman, M., &amp; Hasan, S. (2021). Community participation in vector control programs: Evidence from urban slums of Bangladesh. </w:t>
      </w:r>
      <w:r>
        <w:rPr>
          <w:rFonts w:ascii="Times New Roman" w:hAnsi="Times New Roman" w:cs="Times New Roman" w:eastAsia="Times New Roman"/>
          <w:i/>
          <w:color w:val="auto"/>
          <w:spacing w:val="0"/>
          <w:position w:val="0"/>
          <w:sz w:val="24"/>
          <w:shd w:fill="auto" w:val="clear"/>
        </w:rPr>
        <w:t xml:space="preserve">Journal of Public Health in Developing Countries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(3), 44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BRAC Health Programme. (2022). </w:t>
      </w:r>
      <w:r>
        <w:rPr>
          <w:rFonts w:ascii="Times New Roman" w:hAnsi="Times New Roman" w:cs="Times New Roman" w:eastAsia="Times New Roman"/>
          <w:i/>
          <w:color w:val="auto"/>
          <w:spacing w:val="0"/>
          <w:position w:val="0"/>
          <w:sz w:val="24"/>
          <w:shd w:fill="auto" w:val="clear"/>
        </w:rPr>
        <w:t xml:space="preserve">Annual report: Urban health innovations</w:t>
      </w:r>
      <w:r>
        <w:rPr>
          <w:rFonts w:ascii="Times New Roman" w:hAnsi="Times New Roman" w:cs="Times New Roman" w:eastAsia="Times New Roman"/>
          <w:color w:val="auto"/>
          <w:spacing w:val="0"/>
          <w:position w:val="0"/>
          <w:sz w:val="24"/>
          <w:shd w:fill="auto" w:val="clear"/>
        </w:rPr>
        <w:t xml:space="preserve">. BRAC.</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Directorate General of Health Services. (2022). </w:t>
      </w:r>
      <w:r>
        <w:rPr>
          <w:rFonts w:ascii="Times New Roman" w:hAnsi="Times New Roman" w:cs="Times New Roman" w:eastAsia="Times New Roman"/>
          <w:i/>
          <w:color w:val="auto"/>
          <w:spacing w:val="0"/>
          <w:position w:val="0"/>
          <w:sz w:val="24"/>
          <w:shd w:fill="auto" w:val="clear"/>
        </w:rPr>
        <w:t xml:space="preserve">Dengue situation report July 2022</w:t>
      </w:r>
      <w:r>
        <w:rPr>
          <w:rFonts w:ascii="Times New Roman" w:hAnsi="Times New Roman" w:cs="Times New Roman" w:eastAsia="Times New Roman"/>
          <w:color w:val="auto"/>
          <w:spacing w:val="0"/>
          <w:position w:val="0"/>
          <w:sz w:val="24"/>
          <w:shd w:fill="auto" w:val="clear"/>
        </w:rPr>
        <w:t xml:space="preserve">. Ministry of Health and Family Welfare, Bangladesh.</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ICDDR,B. (2022). </w:t>
      </w:r>
      <w:r>
        <w:rPr>
          <w:rFonts w:ascii="Times New Roman" w:hAnsi="Times New Roman" w:cs="Times New Roman" w:eastAsia="Times New Roman"/>
          <w:i/>
          <w:color w:val="auto"/>
          <w:spacing w:val="0"/>
          <w:position w:val="0"/>
          <w:sz w:val="24"/>
          <w:shd w:fill="auto" w:val="clear"/>
        </w:rPr>
        <w:t xml:space="preserve">Dengue surveillance in Bangladesh: Challenges and progress</w:t>
      </w:r>
      <w:r>
        <w:rPr>
          <w:rFonts w:ascii="Times New Roman" w:hAnsi="Times New Roman" w:cs="Times New Roman" w:eastAsia="Times New Roman"/>
          <w:color w:val="auto"/>
          <w:spacing w:val="0"/>
          <w:position w:val="0"/>
          <w:sz w:val="24"/>
          <w:shd w:fill="auto" w:val="clear"/>
        </w:rPr>
        <w:t xml:space="preserve">. Centre for Communicable Diseases, Dhaka.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World Health Organization. (2022). </w:t>
      </w:r>
      <w:r>
        <w:rPr>
          <w:rFonts w:ascii="Times New Roman" w:hAnsi="Times New Roman" w:cs="Times New Roman" w:eastAsia="Times New Roman"/>
          <w:i/>
          <w:color w:val="auto"/>
          <w:spacing w:val="0"/>
          <w:position w:val="0"/>
          <w:sz w:val="24"/>
          <w:shd w:fill="auto" w:val="clear"/>
        </w:rPr>
        <w:t xml:space="preserve">Dengue and severe dengue</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https://www.who.int/news-room/fact-sheets/detail/dengue-and-severe-dengue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Authors must ensure that their submission meets the following requirements before final submission. Submissions that do not adhere to these guidelines may be returned to the authors.</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Originality and Plagiarism Check</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manuscript is original, has not been previously published, and is not under consideration elsewhere.</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Proper citations are given for all referenced work.</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manuscript has been checked for plagiarism using reliable software (e.g., Turnitin).</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Manuscript Formatting</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manuscript follows the </w:t>
      </w:r>
      <w:r>
        <w:rPr>
          <w:rFonts w:ascii="Times New Roman" w:hAnsi="Times New Roman" w:cs="Times New Roman" w:eastAsia="Times New Roman"/>
          <w:b/>
          <w:color w:val="auto"/>
          <w:spacing w:val="0"/>
          <w:position w:val="0"/>
          <w:sz w:val="24"/>
          <w:shd w:fill="auto" w:val="clear"/>
        </w:rPr>
        <w:t xml:space="preserve">AJABSS formatting guidelines</w:t>
      </w:r>
      <w:r>
        <w:rPr>
          <w:rFonts w:ascii="Times New Roman" w:hAnsi="Times New Roman" w:cs="Times New Roman" w:eastAsia="Times New Roman"/>
          <w:color w:val="auto"/>
          <w:spacing w:val="0"/>
          <w:position w:val="0"/>
          <w:sz w:val="24"/>
          <w:shd w:fill="auto" w:val="clear"/>
        </w:rPr>
        <w:t xml:space="preserve">, including title page, abstract, keywords, main text, references, tables, and figures.</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Font: Times New Roman, 12pt, 1.5 line spacing.</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figures and tables are numbered and properly captioned.</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Language</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manuscript is written in clear, grammatically correct English or Bengali.</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text has been spell-checked and proofread.</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 and Keywords</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abstract (150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250 words) summarizing the objectives, methods, results, and conclusion is included.</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to 6 relevant keywords are provided after the abstract.</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references are cited in the text and listed at the end of the manuscript.</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reference style used is consistent and follows the </w:t>
      </w:r>
      <w:r>
        <w:rPr>
          <w:rFonts w:ascii="Times New Roman" w:hAnsi="Times New Roman" w:cs="Times New Roman" w:eastAsia="Times New Roman"/>
          <w:b/>
          <w:color w:val="auto"/>
          <w:spacing w:val="0"/>
          <w:position w:val="0"/>
          <w:sz w:val="24"/>
          <w:shd w:fill="auto" w:val="clear"/>
        </w:rPr>
        <w:t xml:space="preserve">APA (7th Edition)</w:t>
      </w:r>
      <w:r>
        <w:rPr>
          <w:rFonts w:ascii="Times New Roman" w:hAnsi="Times New Roman" w:cs="Times New Roman" w:eastAsia="Times New Roman"/>
          <w:color w:val="auto"/>
          <w:spacing w:val="0"/>
          <w:position w:val="0"/>
          <w:sz w:val="24"/>
          <w:shd w:fill="auto" w:val="clear"/>
        </w:rPr>
        <w:t xml:space="preserve"> or as specified by AJABSS.</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 Information</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 name, affiliation, email address, and ORCID iD (if available) for each author are provided.</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corresponding author is clearly identified.</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Conflict of Interest and Funding</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potential conflicts of interest have been disclosed.</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Funding sources, if any, are acknowledged.</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Ethical Considerations</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studies involving human participants or animals, ethical approval has been obtained and is mentioned in the manuscript.</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Supplementary Materials (if applicable)</w:t>
      </w:r>
    </w:p>
    <w:p>
      <w:pPr>
        <w:numPr>
          <w:ilvl w:val="0"/>
          <w:numId w:val="34"/>
        </w:numPr>
        <w:tabs>
          <w:tab w:val="left" w:pos="1440" w:leader="none"/>
        </w:tabs>
        <w:spacing w:before="100" w:after="10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supplementary files (e.g., datasets, questionnaires, appendices) are properly labeled and uploaded.</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Copyright and Publication Agreement</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agree to the journal’s copyright policy and publication terms.</w:t>
      </w:r>
    </w:p>
    <w:p>
      <w:pPr>
        <w:numPr>
          <w:ilvl w:val="0"/>
          <w:numId w:val="34"/>
        </w:numPr>
        <w:tabs>
          <w:tab w:val="left" w:pos="720" w:leader="none"/>
        </w:tabs>
        <w:spacing w:before="100" w:after="10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signed Copyright Transfer Agreement (CTA) has been uploaded (if required).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13">
    <w:abstractNumId w:val="24"/>
  </w:num>
  <w:num w:numId="19">
    <w:abstractNumId w:val="18"/>
  </w:num>
  <w:num w:numId="22">
    <w:abstractNumId w:val="12"/>
  </w:num>
  <w:num w:numId="29">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rcid.org/0000-0002-1111-2222" Id="docRId1" Type="http://schemas.openxmlformats.org/officeDocument/2006/relationships/hyperlink" /><Relationship Target="numbering.xml" Id="docRId3" Type="http://schemas.openxmlformats.org/officeDocument/2006/relationships/numbering" /><Relationship TargetMode="External" Target="https://orcid.org/0000-0001-2345-6789" Id="docRId0" Type="http://schemas.openxmlformats.org/officeDocument/2006/relationships/hyperlink" /><Relationship TargetMode="External" Target="https://www.who.int/news-room/fact-sheets/detail/dengue-and-severe-dengue" Id="docRId2" Type="http://schemas.openxmlformats.org/officeDocument/2006/relationships/hyperlink" /><Relationship Target="styles.xml" Id="docRId4" Type="http://schemas.openxmlformats.org/officeDocument/2006/relationships/styles" /></Relationships>
</file>